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7E96" w14:textId="6396EAC5" w:rsidR="00506082" w:rsidRPr="005676D2" w:rsidRDefault="00375CFC" w:rsidP="00375CFC">
      <w:pPr>
        <w:tabs>
          <w:tab w:val="left" w:pos="2440"/>
        </w:tabs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</w:r>
    </w:p>
    <w:p w14:paraId="33130E00" w14:textId="77777777" w:rsidR="00506082" w:rsidRPr="005676D2" w:rsidRDefault="00506082" w:rsidP="00462E80">
      <w:pPr>
        <w:spacing w:line="480" w:lineRule="auto"/>
        <w:jc w:val="center"/>
        <w:rPr>
          <w:rFonts w:cs="Times New Roman"/>
          <w:szCs w:val="24"/>
        </w:rPr>
      </w:pPr>
    </w:p>
    <w:p w14:paraId="7545922B" w14:textId="77777777" w:rsidR="00506082" w:rsidRPr="005676D2" w:rsidRDefault="00506082" w:rsidP="00462E80">
      <w:pPr>
        <w:spacing w:line="480" w:lineRule="auto"/>
        <w:jc w:val="center"/>
        <w:rPr>
          <w:rFonts w:cs="Times New Roman"/>
          <w:szCs w:val="24"/>
        </w:rPr>
      </w:pPr>
    </w:p>
    <w:p w14:paraId="33749381" w14:textId="77777777" w:rsidR="00506082" w:rsidRPr="005676D2" w:rsidRDefault="00506082" w:rsidP="00462E80">
      <w:pPr>
        <w:spacing w:line="480" w:lineRule="auto"/>
        <w:jc w:val="center"/>
        <w:rPr>
          <w:rFonts w:cs="Times New Roman"/>
          <w:szCs w:val="24"/>
        </w:rPr>
      </w:pPr>
    </w:p>
    <w:p w14:paraId="5CA1BB44" w14:textId="7A724F8E" w:rsidR="00506082" w:rsidRPr="005676D2" w:rsidRDefault="00375CFC" w:rsidP="00462E80">
      <w:pPr>
        <w:spacing w:line="480" w:lineRule="auto"/>
        <w:jc w:val="center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Economics</w:t>
      </w:r>
    </w:p>
    <w:p w14:paraId="78BB5BD4" w14:textId="1A4B7A5B" w:rsidR="00A042D6" w:rsidRPr="005676D2" w:rsidRDefault="00A042D6" w:rsidP="00462E80">
      <w:pPr>
        <w:spacing w:line="480" w:lineRule="auto"/>
        <w:jc w:val="center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Institution</w:t>
      </w:r>
    </w:p>
    <w:p w14:paraId="46BEDF15" w14:textId="77777777" w:rsidR="00A042D6" w:rsidRPr="005676D2" w:rsidRDefault="00A042D6" w:rsidP="00462E80">
      <w:pPr>
        <w:spacing w:line="480" w:lineRule="auto"/>
        <w:jc w:val="center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Student name</w:t>
      </w:r>
    </w:p>
    <w:p w14:paraId="23810744" w14:textId="77777777" w:rsidR="00A042D6" w:rsidRPr="005676D2" w:rsidRDefault="00A042D6" w:rsidP="00462E80">
      <w:pPr>
        <w:spacing w:line="480" w:lineRule="auto"/>
        <w:jc w:val="center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Professor</w:t>
      </w:r>
    </w:p>
    <w:p w14:paraId="28007EFE" w14:textId="42D3441C" w:rsidR="00A042D6" w:rsidRPr="005676D2" w:rsidRDefault="00A042D6" w:rsidP="00462E80">
      <w:pPr>
        <w:spacing w:line="480" w:lineRule="auto"/>
        <w:jc w:val="center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Date</w:t>
      </w:r>
    </w:p>
    <w:p w14:paraId="3DE8CD59" w14:textId="271AADBE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458826C4" w14:textId="134417C1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365005D4" w14:textId="36FC7121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0D8CD409" w14:textId="6EAF16F6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4E10D653" w14:textId="76FB0AD6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17DBA809" w14:textId="60CA1126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4300BB44" w14:textId="0E1CFF17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0972D19A" w14:textId="14DFB5EC" w:rsidR="001F090D" w:rsidRPr="005676D2" w:rsidRDefault="001F090D" w:rsidP="00462E80">
      <w:pPr>
        <w:spacing w:line="480" w:lineRule="auto"/>
        <w:jc w:val="center"/>
        <w:rPr>
          <w:rFonts w:cs="Times New Roman"/>
          <w:szCs w:val="24"/>
        </w:rPr>
      </w:pPr>
    </w:p>
    <w:p w14:paraId="4E5723FC" w14:textId="77777777" w:rsidR="00506082" w:rsidRPr="005676D2" w:rsidRDefault="00506082" w:rsidP="00462E80">
      <w:pPr>
        <w:spacing w:line="480" w:lineRule="auto"/>
        <w:rPr>
          <w:rFonts w:cs="Times New Roman"/>
          <w:szCs w:val="24"/>
        </w:rPr>
      </w:pPr>
    </w:p>
    <w:p w14:paraId="2588D3A5" w14:textId="22CE84BC" w:rsidR="00506082" w:rsidRPr="005676D2" w:rsidRDefault="00506082" w:rsidP="00506082">
      <w:pPr>
        <w:spacing w:line="480" w:lineRule="auto"/>
        <w:ind w:firstLine="720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lastRenderedPageBreak/>
        <w:t>Selling and buying are basics in economic. Sellers are there to ensure supply and production of goods, as well as making a profit. Buyers are there to satisfy their needs and wants and they have to do this by incurring a cost</w:t>
      </w:r>
      <w:r w:rsidR="000853C4" w:rsidRPr="005676D2">
        <w:rPr>
          <w:rFonts w:cs="Times New Roman"/>
          <w:szCs w:val="24"/>
        </w:rPr>
        <w:t xml:space="preserve"> </w:t>
      </w:r>
      <w:r w:rsidR="000853C4" w:rsidRPr="005676D2">
        <w:rPr>
          <w:rFonts w:cs="Times New Roman"/>
          <w:color w:val="222222"/>
          <w:szCs w:val="24"/>
          <w:shd w:val="clear" w:color="auto" w:fill="FFFFFF"/>
        </w:rPr>
        <w:t>(Jack &amp; Ramon, 2018)</w:t>
      </w:r>
      <w:r w:rsidRPr="005676D2">
        <w:rPr>
          <w:rFonts w:cs="Times New Roman"/>
          <w:szCs w:val="24"/>
        </w:rPr>
        <w:t>.</w:t>
      </w:r>
      <w:r w:rsidR="005676D2">
        <w:rPr>
          <w:rFonts w:cs="Times New Roman"/>
          <w:szCs w:val="24"/>
        </w:rPr>
        <w:t xml:space="preserve"> When market forces comes into play naturally, business takes place which may either initiate profit, loss or equilibrium. </w:t>
      </w:r>
      <w:r w:rsidRPr="005676D2">
        <w:rPr>
          <w:rFonts w:cs="Times New Roman"/>
          <w:szCs w:val="24"/>
        </w:rPr>
        <w:t xml:space="preserve"> </w:t>
      </w:r>
    </w:p>
    <w:p w14:paraId="2637BB96" w14:textId="0D6B8FE7" w:rsidR="00462E80" w:rsidRPr="005676D2" w:rsidRDefault="000B31F7" w:rsidP="00506082">
      <w:pPr>
        <w:spacing w:line="480" w:lineRule="auto"/>
        <w:ind w:firstLine="720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>Willingness to pay is the highest amount that consumers are able to pay for a product or service</w:t>
      </w:r>
      <w:r w:rsidR="000853C4" w:rsidRPr="005676D2">
        <w:rPr>
          <w:rFonts w:cs="Times New Roman"/>
          <w:szCs w:val="24"/>
        </w:rPr>
        <w:t xml:space="preserve"> </w:t>
      </w:r>
      <w:r w:rsidR="000853C4" w:rsidRPr="005676D2">
        <w:rPr>
          <w:rFonts w:cs="Times New Roman"/>
          <w:color w:val="222222"/>
          <w:szCs w:val="24"/>
          <w:shd w:val="clear" w:color="auto" w:fill="FFFFFF"/>
        </w:rPr>
        <w:t>(</w:t>
      </w:r>
      <w:proofErr w:type="spellStart"/>
      <w:r w:rsidR="000853C4" w:rsidRPr="005676D2">
        <w:rPr>
          <w:rFonts w:cs="Times New Roman"/>
          <w:color w:val="222222"/>
          <w:szCs w:val="24"/>
          <w:shd w:val="clear" w:color="auto" w:fill="FFFFFF"/>
        </w:rPr>
        <w:t>Acey</w:t>
      </w:r>
      <w:proofErr w:type="spellEnd"/>
      <w:r w:rsidR="000853C4" w:rsidRPr="005676D2">
        <w:rPr>
          <w:rFonts w:cs="Times New Roman"/>
          <w:color w:val="222222"/>
          <w:szCs w:val="24"/>
          <w:shd w:val="clear" w:color="auto" w:fill="FFFFFF"/>
        </w:rPr>
        <w:t xml:space="preserve"> et al., 2019)</w:t>
      </w:r>
      <w:r w:rsidRPr="005676D2">
        <w:rPr>
          <w:rFonts w:cs="Times New Roman"/>
          <w:szCs w:val="24"/>
        </w:rPr>
        <w:t>.</w:t>
      </w:r>
      <w:r w:rsidR="00462E80" w:rsidRPr="005676D2">
        <w:rPr>
          <w:rFonts w:cs="Times New Roman"/>
          <w:szCs w:val="24"/>
        </w:rPr>
        <w:t xml:space="preserve"> It may be caused by differences in the customer population. When a customer is urgently needing a product or service, they are willing to pay more than when the need is not urgent. In addition, it may also vary due to emergence of a new brand and the consumer feels that the product that he/she had been using is outdated. From the example given, it can be seen that the consumer is willing to buy a larg</w:t>
      </w:r>
      <w:r w:rsidR="000853C4" w:rsidRPr="005676D2">
        <w:rPr>
          <w:rFonts w:cs="Times New Roman"/>
          <w:szCs w:val="24"/>
        </w:rPr>
        <w:t>er house at a budget of $450,000</w:t>
      </w:r>
      <w:r w:rsidR="00462E80" w:rsidRPr="005676D2">
        <w:rPr>
          <w:rFonts w:cs="Times New Roman"/>
          <w:szCs w:val="24"/>
        </w:rPr>
        <w:t>.</w:t>
      </w:r>
    </w:p>
    <w:p w14:paraId="4AC1901A" w14:textId="19B164F4" w:rsidR="00095F43" w:rsidRPr="005676D2" w:rsidRDefault="00462E80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Consumer Surplus</w:t>
      </w:r>
      <w:r w:rsidR="00095F43" w:rsidRPr="005676D2">
        <w:rPr>
          <w:rFonts w:cs="Times New Roman"/>
          <w:szCs w:val="24"/>
        </w:rPr>
        <w:t xml:space="preserve"> happens when the price that consumers pay is less that what they are willing to pay. This can also be defined as an additional benefit consumers receive. It always increase</w:t>
      </w:r>
      <w:r w:rsidR="00B91E62" w:rsidRPr="005676D2">
        <w:rPr>
          <w:rFonts w:cs="Times New Roman"/>
          <w:szCs w:val="24"/>
        </w:rPr>
        <w:t>s</w:t>
      </w:r>
      <w:r w:rsidR="00095F43" w:rsidRPr="005676D2">
        <w:rPr>
          <w:rFonts w:cs="Times New Roman"/>
          <w:szCs w:val="24"/>
        </w:rPr>
        <w:t xml:space="preserve"> as the price decreases, and decreases as the price increases</w:t>
      </w:r>
      <w:r w:rsidR="000853C4" w:rsidRPr="005676D2">
        <w:rPr>
          <w:rFonts w:cs="Times New Roman"/>
          <w:szCs w:val="24"/>
        </w:rPr>
        <w:t xml:space="preserve"> </w:t>
      </w:r>
      <w:r w:rsidR="000853C4" w:rsidRPr="005676D2">
        <w:rPr>
          <w:rFonts w:cs="Times New Roman"/>
          <w:color w:val="222222"/>
          <w:szCs w:val="24"/>
          <w:shd w:val="clear" w:color="auto" w:fill="FFFFFF"/>
        </w:rPr>
        <w:t>(Montes et al., 2019)</w:t>
      </w:r>
      <w:r w:rsidR="00095F43" w:rsidRPr="005676D2">
        <w:rPr>
          <w:rFonts w:cs="Times New Roman"/>
          <w:szCs w:val="24"/>
        </w:rPr>
        <w:t>. In the example given, consumer surplus is the difference between</w:t>
      </w:r>
      <w:r w:rsidR="00B91E62" w:rsidRPr="005676D2">
        <w:rPr>
          <w:rFonts w:cs="Times New Roman"/>
          <w:szCs w:val="24"/>
        </w:rPr>
        <w:t xml:space="preserve"> the </w:t>
      </w:r>
      <w:r w:rsidR="00E25584" w:rsidRPr="005676D2">
        <w:rPr>
          <w:rFonts w:cs="Times New Roman"/>
          <w:szCs w:val="24"/>
        </w:rPr>
        <w:t xml:space="preserve">largest </w:t>
      </w:r>
      <w:r w:rsidR="00B91E62" w:rsidRPr="005676D2">
        <w:rPr>
          <w:rFonts w:cs="Times New Roman"/>
          <w:szCs w:val="24"/>
        </w:rPr>
        <w:t xml:space="preserve">amount the consumer is </w:t>
      </w:r>
      <w:r w:rsidR="00136C7F" w:rsidRPr="005676D2">
        <w:rPr>
          <w:rFonts w:cs="Times New Roman"/>
          <w:szCs w:val="24"/>
        </w:rPr>
        <w:t xml:space="preserve">ready </w:t>
      </w:r>
      <w:r w:rsidR="00B91E62" w:rsidRPr="005676D2">
        <w:rPr>
          <w:rFonts w:cs="Times New Roman"/>
          <w:szCs w:val="24"/>
        </w:rPr>
        <w:t>to pay</w:t>
      </w:r>
      <w:r w:rsidR="00095F43" w:rsidRPr="005676D2">
        <w:rPr>
          <w:rFonts w:cs="Times New Roman"/>
          <w:szCs w:val="24"/>
        </w:rPr>
        <w:t>, $450,000, and</w:t>
      </w:r>
      <w:r w:rsidR="00136C7F" w:rsidRPr="005676D2">
        <w:rPr>
          <w:rFonts w:cs="Times New Roman"/>
          <w:szCs w:val="24"/>
        </w:rPr>
        <w:t xml:space="preserve"> actual</w:t>
      </w:r>
      <w:r w:rsidR="00E25584" w:rsidRPr="005676D2">
        <w:rPr>
          <w:rFonts w:cs="Times New Roman"/>
          <w:szCs w:val="24"/>
        </w:rPr>
        <w:t xml:space="preserve"> </w:t>
      </w:r>
      <w:r w:rsidR="00136C7F" w:rsidRPr="005676D2">
        <w:rPr>
          <w:rFonts w:cs="Times New Roman"/>
          <w:szCs w:val="24"/>
        </w:rPr>
        <w:t>price in</w:t>
      </w:r>
      <w:r w:rsidR="00B91E62" w:rsidRPr="005676D2">
        <w:rPr>
          <w:rFonts w:cs="Times New Roman"/>
          <w:szCs w:val="24"/>
        </w:rPr>
        <w:t xml:space="preserve"> market</w:t>
      </w:r>
      <w:r w:rsidR="00095F43" w:rsidRPr="005676D2">
        <w:rPr>
          <w:rFonts w:cs="Times New Roman"/>
          <w:szCs w:val="24"/>
        </w:rPr>
        <w:t>, $410,000.</w:t>
      </w:r>
    </w:p>
    <w:p w14:paraId="7E476BBB" w14:textId="25648BC6" w:rsidR="00462E80" w:rsidRPr="005676D2" w:rsidRDefault="00095F43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 xml:space="preserve">Demand occurs when a consumer desires to </w:t>
      </w:r>
      <w:r w:rsidR="00B91E62" w:rsidRPr="005676D2">
        <w:rPr>
          <w:rFonts w:cs="Times New Roman"/>
          <w:szCs w:val="24"/>
        </w:rPr>
        <w:t>buy goods and services, and is willing to pay them for a price.</w:t>
      </w:r>
      <w:r w:rsidRPr="005676D2">
        <w:rPr>
          <w:rFonts w:cs="Times New Roman"/>
          <w:szCs w:val="24"/>
        </w:rPr>
        <w:t xml:space="preserve"> </w:t>
      </w:r>
      <w:r w:rsidR="00B91E62" w:rsidRPr="005676D2">
        <w:rPr>
          <w:rFonts w:cs="Times New Roman"/>
          <w:szCs w:val="24"/>
        </w:rPr>
        <w:t>It is closely related with the price and how much the consumer wants to buy.</w:t>
      </w:r>
      <w:r w:rsidRPr="005676D2">
        <w:rPr>
          <w:rFonts w:cs="Times New Roman"/>
          <w:szCs w:val="24"/>
        </w:rPr>
        <w:t xml:space="preserve"> </w:t>
      </w:r>
      <w:r w:rsidR="00012B3B" w:rsidRPr="005676D2">
        <w:rPr>
          <w:rFonts w:cs="Times New Roman"/>
          <w:szCs w:val="24"/>
        </w:rPr>
        <w:t>From the example, it is assumed that the consumer previously lived in a house worth $350,000. He</w:t>
      </w:r>
      <w:r w:rsidR="0033216B" w:rsidRPr="005676D2">
        <w:rPr>
          <w:rFonts w:cs="Times New Roman"/>
          <w:szCs w:val="24"/>
        </w:rPr>
        <w:t xml:space="preserve"> or </w:t>
      </w:r>
      <w:r w:rsidR="00012B3B" w:rsidRPr="005676D2">
        <w:rPr>
          <w:rFonts w:cs="Times New Roman"/>
          <w:szCs w:val="24"/>
        </w:rPr>
        <w:t>She feels that a larger one will be more comfortable. Having searched for one, the consumer has found out that the price for the house looking for is $460,000.</w:t>
      </w:r>
    </w:p>
    <w:p w14:paraId="62D4B66D" w14:textId="3F1CC4DE" w:rsidR="00012B3B" w:rsidRPr="005676D2" w:rsidRDefault="00012B3B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 xml:space="preserve">Producer Surplus is the total profit obtained from </w:t>
      </w:r>
      <w:r w:rsidR="008B39FF" w:rsidRPr="005676D2">
        <w:rPr>
          <w:rFonts w:cs="Times New Roman"/>
          <w:szCs w:val="24"/>
        </w:rPr>
        <w:t xml:space="preserve">participating in trade of a product/service. Sellers engage in businesses for more gains and therefore, it would be </w:t>
      </w:r>
      <w:r w:rsidR="008B39FF" w:rsidRPr="005676D2">
        <w:rPr>
          <w:rFonts w:cs="Times New Roman"/>
          <w:szCs w:val="24"/>
        </w:rPr>
        <w:lastRenderedPageBreak/>
        <w:t>acceptable for them to sell a product for more than the amount and labor they use while producing</w:t>
      </w:r>
      <w:r w:rsidR="00375CFC" w:rsidRPr="005676D2">
        <w:rPr>
          <w:rFonts w:cs="Times New Roman"/>
          <w:szCs w:val="24"/>
        </w:rPr>
        <w:t xml:space="preserve"> </w:t>
      </w:r>
      <w:r w:rsidR="00375CFC" w:rsidRPr="005676D2">
        <w:rPr>
          <w:rFonts w:cs="Times New Roman"/>
          <w:color w:val="222222"/>
          <w:szCs w:val="24"/>
          <w:shd w:val="clear" w:color="auto" w:fill="FFFFFF"/>
        </w:rPr>
        <w:t>(Gautier et al., 2020)</w:t>
      </w:r>
      <w:r w:rsidR="008B39FF" w:rsidRPr="005676D2">
        <w:rPr>
          <w:rFonts w:cs="Times New Roman"/>
          <w:szCs w:val="24"/>
        </w:rPr>
        <w:t>. From the example, producer surplus will be therefore the difference between the amount settled between the builder, $410,000 and the amount he bought the house, $300,000, plus the amount spent on remodeling it, $75,000.</w:t>
      </w:r>
    </w:p>
    <w:p w14:paraId="4762FBB8" w14:textId="6AA16A50" w:rsidR="008B39FF" w:rsidRPr="005676D2" w:rsidRDefault="008B39FF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 xml:space="preserve">Cost can be assumed to be the monetary expenses that producers have to spend in order for an activity to be done. In the example, the remodeling activity is the </w:t>
      </w:r>
      <w:r w:rsidR="0033216B" w:rsidRPr="005676D2">
        <w:rPr>
          <w:rFonts w:cs="Times New Roman"/>
          <w:szCs w:val="24"/>
        </w:rPr>
        <w:t>monetary value the producer incurred for the house, which is $75,000</w:t>
      </w:r>
      <w:r w:rsidR="005676D2">
        <w:rPr>
          <w:rFonts w:cs="Times New Roman"/>
          <w:szCs w:val="24"/>
        </w:rPr>
        <w:t>.</w:t>
      </w:r>
    </w:p>
    <w:p w14:paraId="35E87F1A" w14:textId="4DAA4D3A" w:rsidR="001F090D" w:rsidRPr="005676D2" w:rsidRDefault="0033216B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 xml:space="preserve">For a seller to accept and sell a product or service, there must be a price where he/she has come to an agreement with the buyer and the price should be acceptable to both of them. In as much as it is acceptable, it should be a profit to the </w:t>
      </w:r>
      <w:r w:rsidR="00375CFC" w:rsidRPr="005676D2">
        <w:rPr>
          <w:rFonts w:cs="Times New Roman"/>
          <w:szCs w:val="24"/>
        </w:rPr>
        <w:t>seller</w:t>
      </w:r>
      <w:r w:rsidR="00375CFC" w:rsidRPr="005676D2">
        <w:rPr>
          <w:rFonts w:cs="Times New Roman"/>
          <w:color w:val="222222"/>
          <w:szCs w:val="24"/>
          <w:shd w:val="clear" w:color="auto" w:fill="FFFFFF"/>
        </w:rPr>
        <w:t xml:space="preserve"> (</w:t>
      </w:r>
      <w:r w:rsidR="000853C4" w:rsidRPr="005676D2">
        <w:rPr>
          <w:rFonts w:cs="Times New Roman"/>
          <w:color w:val="222222"/>
          <w:szCs w:val="24"/>
          <w:shd w:val="clear" w:color="auto" w:fill="FFFFFF"/>
        </w:rPr>
        <w:t>Jazinaninejad et al., 2019)</w:t>
      </w:r>
      <w:r w:rsidRPr="005676D2">
        <w:rPr>
          <w:rFonts w:cs="Times New Roman"/>
          <w:szCs w:val="24"/>
        </w:rPr>
        <w:t>. This is referred to as the Willingness to sell. From the example given, the builder had set the price to be $460,000. However, the price later is agreed to be $410,000.</w:t>
      </w:r>
      <w:r w:rsidR="00506082" w:rsidRPr="005676D2">
        <w:rPr>
          <w:rFonts w:cs="Times New Roman"/>
          <w:szCs w:val="24"/>
        </w:rPr>
        <w:t xml:space="preserve"> </w:t>
      </w:r>
    </w:p>
    <w:p w14:paraId="30CE39BB" w14:textId="77777777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Therefore,</w:t>
      </w:r>
    </w:p>
    <w:p w14:paraId="6CCE6218" w14:textId="1991F037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Willingness to pay= $450,000</w:t>
      </w:r>
    </w:p>
    <w:p w14:paraId="6255F55F" w14:textId="77777777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Consumer Surplus; $450,000-$410,000= $40,000</w:t>
      </w:r>
    </w:p>
    <w:p w14:paraId="5651CF4D" w14:textId="77777777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Demand= $460,000</w:t>
      </w:r>
    </w:p>
    <w:p w14:paraId="6EC005EA" w14:textId="71102186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Producer Surplus; $410,000-($300,000+$75,000</w:t>
      </w:r>
      <w:r w:rsidR="00375CFC" w:rsidRPr="005676D2">
        <w:rPr>
          <w:rFonts w:cs="Times New Roman"/>
          <w:szCs w:val="24"/>
        </w:rPr>
        <w:t>) =</w:t>
      </w:r>
      <w:r w:rsidRPr="005676D2">
        <w:rPr>
          <w:rFonts w:cs="Times New Roman"/>
          <w:szCs w:val="24"/>
        </w:rPr>
        <w:t xml:space="preserve"> $35,000</w:t>
      </w:r>
    </w:p>
    <w:p w14:paraId="4C5095A2" w14:textId="0EB91E2A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>Cost= $75,000</w:t>
      </w:r>
    </w:p>
    <w:p w14:paraId="6EC6DCDD" w14:textId="25F83594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  <w:t xml:space="preserve">Willingness to sell= </w:t>
      </w:r>
      <w:r w:rsidR="00506082" w:rsidRPr="005676D2">
        <w:rPr>
          <w:rFonts w:cs="Times New Roman"/>
          <w:szCs w:val="24"/>
        </w:rPr>
        <w:t>$410,000</w:t>
      </w:r>
    </w:p>
    <w:p w14:paraId="1FFD91EB" w14:textId="5DD39898" w:rsidR="001F090D" w:rsidRPr="005676D2" w:rsidRDefault="001F090D" w:rsidP="00462E80">
      <w:pPr>
        <w:spacing w:line="480" w:lineRule="auto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tab/>
      </w:r>
    </w:p>
    <w:p w14:paraId="4DEB88F7" w14:textId="77777777" w:rsidR="00375CFC" w:rsidRPr="005676D2" w:rsidRDefault="00375CFC" w:rsidP="00375CFC">
      <w:pPr>
        <w:tabs>
          <w:tab w:val="left" w:pos="2850"/>
        </w:tabs>
        <w:ind w:left="720" w:hanging="720"/>
        <w:rPr>
          <w:rFonts w:cs="Times New Roman"/>
          <w:szCs w:val="24"/>
        </w:rPr>
      </w:pPr>
      <w:r w:rsidRPr="005676D2">
        <w:rPr>
          <w:rFonts w:cs="Times New Roman"/>
          <w:szCs w:val="24"/>
        </w:rPr>
        <w:lastRenderedPageBreak/>
        <w:tab/>
      </w:r>
    </w:p>
    <w:p w14:paraId="35510712" w14:textId="52066A45" w:rsidR="00431027" w:rsidRPr="005676D2" w:rsidRDefault="00431027" w:rsidP="005676D2">
      <w:pPr>
        <w:ind w:left="720"/>
        <w:rPr>
          <w:rFonts w:cs="Times New Roman"/>
          <w:color w:val="222222"/>
          <w:szCs w:val="24"/>
          <w:shd w:val="clear" w:color="auto" w:fill="FFFFFF"/>
        </w:rPr>
      </w:pPr>
      <w:r w:rsidRPr="005676D2">
        <w:rPr>
          <w:rFonts w:cs="Times New Roman"/>
          <w:color w:val="222222"/>
          <w:szCs w:val="24"/>
          <w:shd w:val="clear" w:color="auto" w:fill="FFFFFF"/>
        </w:rPr>
        <w:t>References</w:t>
      </w:r>
    </w:p>
    <w:p w14:paraId="2666D502" w14:textId="77777777" w:rsidR="00431027" w:rsidRPr="005676D2" w:rsidRDefault="00431027" w:rsidP="00375CFC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</w:p>
    <w:p w14:paraId="5FF24D5C" w14:textId="688B7A10" w:rsidR="00375CFC" w:rsidRPr="005676D2" w:rsidRDefault="00375CFC" w:rsidP="00375CFC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Acey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C.,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Kisiangani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J.,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Ronoh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P.,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Delaire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C., Makena, E., Norman, G., ... &amp;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Peletz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R. (2019). Cross-subsidies for improved sanitation in </w:t>
      </w:r>
      <w:r w:rsidR="005676D2" w:rsidRPr="005676D2">
        <w:rPr>
          <w:rFonts w:cs="Times New Roman"/>
          <w:color w:val="222222"/>
          <w:szCs w:val="24"/>
          <w:shd w:val="clear" w:color="auto" w:fill="FFFFFF"/>
        </w:rPr>
        <w:t>low-income</w:t>
      </w:r>
      <w:r w:rsidRPr="005676D2">
        <w:rPr>
          <w:rFonts w:cs="Times New Roman"/>
          <w:color w:val="222222"/>
          <w:szCs w:val="24"/>
          <w:shd w:val="clear" w:color="auto" w:fill="FFFFFF"/>
        </w:rPr>
        <w:t xml:space="preserve"> settlements: Assessing the willingness to pay of water utility customers in Kenyan cities.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World Development</w:t>
      </w:r>
      <w:r w:rsidRPr="005676D2">
        <w:rPr>
          <w:rFonts w:cs="Times New Roman"/>
          <w:color w:val="222222"/>
          <w:szCs w:val="24"/>
          <w:shd w:val="clear" w:color="auto" w:fill="FFFFFF"/>
        </w:rPr>
        <w:t>,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115</w:t>
      </w:r>
      <w:r w:rsidRPr="005676D2">
        <w:rPr>
          <w:rFonts w:cs="Times New Roman"/>
          <w:color w:val="222222"/>
          <w:szCs w:val="24"/>
          <w:shd w:val="clear" w:color="auto" w:fill="FFFFFF"/>
        </w:rPr>
        <w:t>, 160-177.</w:t>
      </w:r>
    </w:p>
    <w:p w14:paraId="6D8EB642" w14:textId="77777777" w:rsidR="00375CFC" w:rsidRPr="005676D2" w:rsidRDefault="00375CFC" w:rsidP="00375CFC">
      <w:pPr>
        <w:spacing w:before="240"/>
        <w:ind w:left="720" w:hanging="720"/>
        <w:rPr>
          <w:rFonts w:cs="Times New Roman"/>
          <w:szCs w:val="24"/>
        </w:rPr>
      </w:pPr>
      <w:r w:rsidRPr="005676D2">
        <w:rPr>
          <w:rFonts w:cs="Times New Roman"/>
          <w:color w:val="222222"/>
          <w:szCs w:val="24"/>
          <w:shd w:val="clear" w:color="auto" w:fill="FFFFFF"/>
        </w:rPr>
        <w:t xml:space="preserve">Gautier, A.,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Ittoo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A., &amp; Van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Cleynenbreugel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>, P. (2020). AI algorithms, price discrimination and collusion: a technological, economic and legal perspective.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European Journal of Law and Economics</w:t>
      </w:r>
      <w:r w:rsidRPr="005676D2">
        <w:rPr>
          <w:rFonts w:cs="Times New Roman"/>
          <w:color w:val="222222"/>
          <w:szCs w:val="24"/>
          <w:shd w:val="clear" w:color="auto" w:fill="FFFFFF"/>
        </w:rPr>
        <w:t>,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50</w:t>
      </w:r>
      <w:r w:rsidRPr="005676D2">
        <w:rPr>
          <w:rFonts w:cs="Times New Roman"/>
          <w:color w:val="222222"/>
          <w:szCs w:val="24"/>
          <w:shd w:val="clear" w:color="auto" w:fill="FFFFFF"/>
        </w:rPr>
        <w:t>(3), 405-435.</w:t>
      </w:r>
    </w:p>
    <w:p w14:paraId="16F2FB23" w14:textId="77777777" w:rsidR="00375CFC" w:rsidRPr="005676D2" w:rsidRDefault="00375CFC" w:rsidP="00375CFC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76D2">
        <w:rPr>
          <w:rFonts w:cs="Times New Roman"/>
          <w:color w:val="222222"/>
          <w:szCs w:val="24"/>
          <w:shd w:val="clear" w:color="auto" w:fill="FFFFFF"/>
        </w:rPr>
        <w:t xml:space="preserve">Jack, L.,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Florez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>-Lopez, R., &amp; Ramon-Jeronimo, J. M. (2018). Accounting, performance measurement and fairness in UK fresh produce supply networks.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Accounting, Organizations and Society</w:t>
      </w:r>
      <w:r w:rsidRPr="005676D2">
        <w:rPr>
          <w:rFonts w:cs="Times New Roman"/>
          <w:color w:val="222222"/>
          <w:szCs w:val="24"/>
          <w:shd w:val="clear" w:color="auto" w:fill="FFFFFF"/>
        </w:rPr>
        <w:t>,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64</w:t>
      </w:r>
      <w:r w:rsidRPr="005676D2">
        <w:rPr>
          <w:rFonts w:cs="Times New Roman"/>
          <w:color w:val="222222"/>
          <w:szCs w:val="24"/>
          <w:shd w:val="clear" w:color="auto" w:fill="FFFFFF"/>
        </w:rPr>
        <w:t>, 17-30.</w:t>
      </w:r>
    </w:p>
    <w:p w14:paraId="02993C9E" w14:textId="77777777" w:rsidR="00375CFC" w:rsidRPr="005676D2" w:rsidRDefault="00375CFC" w:rsidP="00375CFC">
      <w:pPr>
        <w:spacing w:before="240"/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76D2">
        <w:rPr>
          <w:rFonts w:cs="Times New Roman"/>
          <w:color w:val="222222"/>
          <w:szCs w:val="24"/>
          <w:shd w:val="clear" w:color="auto" w:fill="FFFFFF"/>
        </w:rPr>
        <w:t xml:space="preserve">Jazinaninejad, M.,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Seyedhosseini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>, S. M., Hosseini-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Motlagh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S. M., &amp;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Nematollahi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>, M. (2019). Coordinated decision-making on manufacturer’s EPQ-based and buyer’s period review inventory policies with stochastic price-sensitive demand: A credit option approach.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RAIRO-Operations Research</w:t>
      </w:r>
      <w:r w:rsidRPr="005676D2">
        <w:rPr>
          <w:rFonts w:cs="Times New Roman"/>
          <w:color w:val="222222"/>
          <w:szCs w:val="24"/>
          <w:shd w:val="clear" w:color="auto" w:fill="FFFFFF"/>
        </w:rPr>
        <w:t>,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53</w:t>
      </w:r>
      <w:r w:rsidRPr="005676D2">
        <w:rPr>
          <w:rFonts w:cs="Times New Roman"/>
          <w:color w:val="222222"/>
          <w:szCs w:val="24"/>
          <w:shd w:val="clear" w:color="auto" w:fill="FFFFFF"/>
        </w:rPr>
        <w:t>(4), 1129-1154.</w:t>
      </w:r>
    </w:p>
    <w:p w14:paraId="4ECB2D55" w14:textId="13B8FA3E" w:rsidR="00375CFC" w:rsidRPr="005676D2" w:rsidRDefault="00375CFC" w:rsidP="00431027">
      <w:pPr>
        <w:spacing w:before="240"/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76D2">
        <w:rPr>
          <w:rFonts w:cs="Times New Roman"/>
          <w:color w:val="222222"/>
          <w:szCs w:val="24"/>
          <w:shd w:val="clear" w:color="auto" w:fill="FFFFFF"/>
        </w:rPr>
        <w:t>Montes, R., Sand-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Zantman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 xml:space="preserve">, W., &amp; </w:t>
      </w:r>
      <w:proofErr w:type="spellStart"/>
      <w:r w:rsidRPr="005676D2">
        <w:rPr>
          <w:rFonts w:cs="Times New Roman"/>
          <w:color w:val="222222"/>
          <w:szCs w:val="24"/>
          <w:shd w:val="clear" w:color="auto" w:fill="FFFFFF"/>
        </w:rPr>
        <w:t>Valletti</w:t>
      </w:r>
      <w:proofErr w:type="spellEnd"/>
      <w:r w:rsidRPr="005676D2">
        <w:rPr>
          <w:rFonts w:cs="Times New Roman"/>
          <w:color w:val="222222"/>
          <w:szCs w:val="24"/>
          <w:shd w:val="clear" w:color="auto" w:fill="FFFFFF"/>
        </w:rPr>
        <w:t>, T. (2019). The value of personal information in online markets with endogenous privacy.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Management Science</w:t>
      </w:r>
      <w:r w:rsidRPr="005676D2">
        <w:rPr>
          <w:rFonts w:cs="Times New Roman"/>
          <w:color w:val="222222"/>
          <w:szCs w:val="24"/>
          <w:shd w:val="clear" w:color="auto" w:fill="FFFFFF"/>
        </w:rPr>
        <w:t>, </w:t>
      </w:r>
      <w:r w:rsidRPr="005676D2">
        <w:rPr>
          <w:rFonts w:cs="Times New Roman"/>
          <w:i/>
          <w:iCs/>
          <w:color w:val="222222"/>
          <w:szCs w:val="24"/>
          <w:shd w:val="clear" w:color="auto" w:fill="FFFFFF"/>
        </w:rPr>
        <w:t>65</w:t>
      </w:r>
      <w:r w:rsidR="00431027" w:rsidRPr="005676D2">
        <w:rPr>
          <w:rFonts w:cs="Times New Roman"/>
          <w:color w:val="222222"/>
          <w:szCs w:val="24"/>
          <w:shd w:val="clear" w:color="auto" w:fill="FFFFFF"/>
        </w:rPr>
        <w:t>(3), 1342-1362</w:t>
      </w:r>
      <w:r w:rsidRPr="005676D2">
        <w:rPr>
          <w:rFonts w:cs="Times New Roman"/>
          <w:szCs w:val="24"/>
        </w:rPr>
        <w:t xml:space="preserve"> </w:t>
      </w:r>
    </w:p>
    <w:sectPr w:rsidR="00375CFC" w:rsidRPr="005676D2" w:rsidSect="00A042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276F" w14:textId="77777777" w:rsidR="003C7738" w:rsidRDefault="003C7738" w:rsidP="00A042D6">
      <w:pPr>
        <w:spacing w:after="0" w:line="240" w:lineRule="auto"/>
      </w:pPr>
      <w:r>
        <w:separator/>
      </w:r>
    </w:p>
  </w:endnote>
  <w:endnote w:type="continuationSeparator" w:id="0">
    <w:p w14:paraId="777D70BD" w14:textId="77777777" w:rsidR="003C7738" w:rsidRDefault="003C7738" w:rsidP="00A0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941B" w14:textId="77777777" w:rsidR="003C7738" w:rsidRDefault="003C7738" w:rsidP="00A042D6">
      <w:pPr>
        <w:spacing w:after="0" w:line="240" w:lineRule="auto"/>
      </w:pPr>
      <w:r>
        <w:separator/>
      </w:r>
    </w:p>
  </w:footnote>
  <w:footnote w:type="continuationSeparator" w:id="0">
    <w:p w14:paraId="57996D26" w14:textId="77777777" w:rsidR="003C7738" w:rsidRDefault="003C7738" w:rsidP="00A0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482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9EC867" w14:textId="3F667890" w:rsidR="00A042D6" w:rsidRDefault="00A042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C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74244F" w14:textId="77777777" w:rsidR="00A042D6" w:rsidRDefault="00A042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D6"/>
    <w:rsid w:val="00012B3B"/>
    <w:rsid w:val="000853C4"/>
    <w:rsid w:val="00095F43"/>
    <w:rsid w:val="000B31F7"/>
    <w:rsid w:val="00136C7F"/>
    <w:rsid w:val="001706A6"/>
    <w:rsid w:val="001F090D"/>
    <w:rsid w:val="0033216B"/>
    <w:rsid w:val="00375CFC"/>
    <w:rsid w:val="003C7738"/>
    <w:rsid w:val="00431027"/>
    <w:rsid w:val="00462E80"/>
    <w:rsid w:val="00506082"/>
    <w:rsid w:val="005676D2"/>
    <w:rsid w:val="00651828"/>
    <w:rsid w:val="006A66E0"/>
    <w:rsid w:val="0085258A"/>
    <w:rsid w:val="008B39FF"/>
    <w:rsid w:val="00A042D6"/>
    <w:rsid w:val="00B627CB"/>
    <w:rsid w:val="00B91E62"/>
    <w:rsid w:val="00D94E80"/>
    <w:rsid w:val="00E2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62B0"/>
  <w15:chartTrackingRefBased/>
  <w15:docId w15:val="{20919342-235F-4694-88B6-FDE5EC90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4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D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David Mua</cp:lastModifiedBy>
  <cp:revision>6</cp:revision>
  <dcterms:created xsi:type="dcterms:W3CDTF">2021-07-24T08:58:00Z</dcterms:created>
  <dcterms:modified xsi:type="dcterms:W3CDTF">2021-07-24T12:48:00Z</dcterms:modified>
</cp:coreProperties>
</file>